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BC06" w14:textId="64879BEB" w:rsidR="00681029" w:rsidRDefault="00681029" w:rsidP="00681029">
      <w:r>
        <w:t>LENIN lezen:</w:t>
      </w:r>
    </w:p>
    <w:p w14:paraId="3FB11084" w14:textId="77777777" w:rsidR="00681029" w:rsidRDefault="00681029" w:rsidP="00681029"/>
    <w:p w14:paraId="6DB29E63" w14:textId="06D365BC" w:rsidR="00A13ADC" w:rsidRDefault="00681029" w:rsidP="00681029">
      <w:r>
        <w:t>Gedurende het hele tijdperk van de Tweede Internationale woedde overal in de sociaaldemocratische partijen een strijd tussen de revolutionaire en de opportunistische vleugel. In een aantal landen leidde dit tot een splitsing (Engeland, Itali</w:t>
      </w:r>
      <w:r>
        <w:rPr>
          <w:rFonts w:hint="cs"/>
        </w:rPr>
        <w:t>ë</w:t>
      </w:r>
      <w:r>
        <w:t xml:space="preserve">, Nederland, Bulgarije). Geen enkele marxist twijfelde eraan dat opportunisme een uitdrukking is van burgerlijke politiek in de arbeidersbeweging, dat het overeenkomt met de belangen van de kleine burgerij en de alliantie van een kleine minderheid van verburgerlijkte arbeiders met </w:t>
      </w:r>
      <w:r>
        <w:rPr>
          <w:rFonts w:hint="cs"/>
        </w:rPr>
        <w:t>‘</w:t>
      </w:r>
      <w:r>
        <w:t>hun</w:t>
      </w:r>
      <w:r>
        <w:rPr>
          <w:rFonts w:hint="cs"/>
        </w:rPr>
        <w:t>’</w:t>
      </w:r>
      <w:r>
        <w:t xml:space="preserve"> bourgeoisie </w:t>
      </w:r>
      <w:r>
        <w:rPr>
          <w:rFonts w:hint="cs"/>
        </w:rPr>
        <w:t>–</w:t>
      </w:r>
      <w:r>
        <w:t xml:space="preserve"> een alliantie die zich richt tegen de belangen van de massa van de proletari</w:t>
      </w:r>
      <w:r>
        <w:rPr>
          <w:rFonts w:hint="cs"/>
        </w:rPr>
        <w:t>ë</w:t>
      </w:r>
      <w:r>
        <w:t xml:space="preserve">rs, de massa van de onderdrukten. De objectieve omstandigheden aan het einde van de 19e eeuw gaven het opportunisme een bijzondere krachttoename doordat zij het misbruik van de burgerlijke legaliteit veranderden in een knieval voor haar, doordat zij een smalle laag van bureaucraten en aristocraten van de arbeidersklasse lieten ontstaan en vele kleinburgerlijke </w:t>
      </w:r>
      <w:r>
        <w:rPr>
          <w:rFonts w:hint="cs"/>
        </w:rPr>
        <w:t>“</w:t>
      </w:r>
      <w:r>
        <w:t>meelopers</w:t>
      </w:r>
      <w:r>
        <w:rPr>
          <w:rFonts w:hint="cs"/>
        </w:rPr>
        <w:t>”</w:t>
      </w:r>
      <w:r>
        <w:t xml:space="preserve"> in de gelederen van de sociaaldemocratische partijen lieten binnendringen. De oorlog versnelde deze ontwikkeling door het opportunisme te veranderen in sociaal-chauvinisme en de geheime alliantie van de opportunisten met de bourgeoisie openlijk te maken. Daar kwam nog bij dat de militaire autoriteiten overal de staat van beleg afkondigden en de massa van de arbeiders de mond snoerden, terwijl de oude arbeidersleiders bijna zonder uitzondering overliepen naar het kamp van de bourgeoisie. De economische basis van opportunisme en sociaal-chauvinisme is dezelfde: de belangen van een zeer kleine laag van bevoorrechte arbeiders en kleinburgers, die hun bevoorrechte positie, hun </w:t>
      </w:r>
      <w:r>
        <w:rPr>
          <w:rFonts w:hint="cs"/>
        </w:rPr>
        <w:t>‘</w:t>
      </w:r>
      <w:r>
        <w:t>recht</w:t>
      </w:r>
      <w:r>
        <w:rPr>
          <w:rFonts w:hint="cs"/>
        </w:rPr>
        <w:t>’</w:t>
      </w:r>
      <w:r>
        <w:t xml:space="preserve"> op kruimels van de tafel van de bourgeoisie verdedigen, op kruimels van de winsten die </w:t>
      </w:r>
      <w:r>
        <w:rPr>
          <w:rFonts w:hint="cs"/>
        </w:rPr>
        <w:t>‘</w:t>
      </w:r>
      <w:r>
        <w:t>hun</w:t>
      </w:r>
      <w:r>
        <w:rPr>
          <w:rFonts w:hint="cs"/>
        </w:rPr>
        <w:t>’</w:t>
      </w:r>
      <w:r>
        <w:t xml:space="preserve"> nationale bourgeoisie binnenhaalt door de plundering van vreemde naties, door de voordelen van haar grootmachtpositie, enz. De ideologisch-</w:t>
      </w:r>
      <w:proofErr w:type="spellStart"/>
      <w:r>
        <w:t>politische</w:t>
      </w:r>
      <w:proofErr w:type="spellEnd"/>
      <w:r>
        <w:t xml:space="preserve"> inhoud van opportunisme en sociaal-chauvinisme is dezelfde: samenwerking tussen klassen in plaats van klassenstrijd, afzien van revolutionaire strijdmiddelen, steun aan de </w:t>
      </w:r>
      <w:r>
        <w:rPr>
          <w:rFonts w:hint="cs"/>
        </w:rPr>
        <w:t>‘</w:t>
      </w:r>
      <w:r>
        <w:t>eigen</w:t>
      </w:r>
      <w:r>
        <w:rPr>
          <w:rFonts w:hint="cs"/>
        </w:rPr>
        <w:t>’</w:t>
      </w:r>
      <w:r>
        <w:t xml:space="preserve"> regering in een voor haar moeilijke situatie in plaats van deze moeilijkheden uit te buiten voor de revolutie. Als we alle Europese landen samen nemen en niet naar individuele (hoe gezaghebbend ook) personen kijken, dan zien we dat juist de opportunistische stroming de belangrijkste steunpilaar van het sociaal-chauvinisme is geworden, terwijl in het kamp van de revolutionairen bijna overal een min of meer consequent protest tegen deze stroming klinkt. Als we bijvoorbeeld kijken naar de groeperingen op het Internationaal Socialistisch Congres in Stuttgart in 1907, zien we dat het internationale marxisme tegen het imperialisme was, maar dat het internationale opportunisme toen al voor het imperialisme was. Geciteerd uit: </w:t>
      </w:r>
      <w:r>
        <w:rPr>
          <w:rFonts w:hint="cs"/>
        </w:rPr>
        <w:t>“</w:t>
      </w:r>
      <w:r>
        <w:t xml:space="preserve">Lenin over oorlog en vrede </w:t>
      </w:r>
      <w:r>
        <w:rPr>
          <w:rFonts w:hint="cs"/>
        </w:rPr>
        <w:t>–</w:t>
      </w:r>
      <w:r>
        <w:t xml:space="preserve"> Drie artikelen</w:t>
      </w:r>
      <w:r>
        <w:rPr>
          <w:rFonts w:hint="cs"/>
        </w:rPr>
        <w:t>”</w:t>
      </w:r>
      <w:r>
        <w:t xml:space="preserve"> </w:t>
      </w:r>
      <w:r>
        <w:rPr>
          <w:rFonts w:hint="cs"/>
        </w:rPr>
        <w:t>–</w:t>
      </w:r>
      <w:r>
        <w:t xml:space="preserve"> </w:t>
      </w:r>
      <w:proofErr w:type="spellStart"/>
      <w:r>
        <w:t>Volksverlag</w:t>
      </w:r>
      <w:proofErr w:type="spellEnd"/>
      <w:r>
        <w:t xml:space="preserve"> Peking 1974.</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29"/>
    <w:rsid w:val="00681029"/>
    <w:rsid w:val="00A13ADC"/>
    <w:rsid w:val="00BD05B1"/>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CD7B"/>
  <w15:chartTrackingRefBased/>
  <w15:docId w15:val="{328FFC05-561B-4180-828D-3D65ACB0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1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10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10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10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10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10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10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10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10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10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10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10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10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10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10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10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1029"/>
    <w:rPr>
      <w:rFonts w:eastAsiaTheme="majorEastAsia" w:cstheme="majorBidi"/>
      <w:color w:val="272727" w:themeColor="text1" w:themeTint="D8"/>
    </w:rPr>
  </w:style>
  <w:style w:type="paragraph" w:styleId="Titel">
    <w:name w:val="Title"/>
    <w:basedOn w:val="Standaard"/>
    <w:next w:val="Standaard"/>
    <w:link w:val="TitelChar"/>
    <w:uiPriority w:val="10"/>
    <w:qFormat/>
    <w:rsid w:val="0068102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10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10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10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10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1029"/>
    <w:rPr>
      <w:i/>
      <w:iCs/>
      <w:color w:val="404040" w:themeColor="text1" w:themeTint="BF"/>
    </w:rPr>
  </w:style>
  <w:style w:type="paragraph" w:styleId="Lijstalinea">
    <w:name w:val="List Paragraph"/>
    <w:basedOn w:val="Standaard"/>
    <w:uiPriority w:val="34"/>
    <w:qFormat/>
    <w:rsid w:val="00681029"/>
    <w:pPr>
      <w:ind w:left="720"/>
      <w:contextualSpacing/>
    </w:pPr>
  </w:style>
  <w:style w:type="character" w:styleId="Intensievebenadrukking">
    <w:name w:val="Intense Emphasis"/>
    <w:basedOn w:val="Standaardalinea-lettertype"/>
    <w:uiPriority w:val="21"/>
    <w:qFormat/>
    <w:rsid w:val="00681029"/>
    <w:rPr>
      <w:i/>
      <w:iCs/>
      <w:color w:val="0F4761" w:themeColor="accent1" w:themeShade="BF"/>
    </w:rPr>
  </w:style>
  <w:style w:type="paragraph" w:styleId="Duidelijkcitaat">
    <w:name w:val="Intense Quote"/>
    <w:basedOn w:val="Standaard"/>
    <w:next w:val="Standaard"/>
    <w:link w:val="DuidelijkcitaatChar"/>
    <w:uiPriority w:val="30"/>
    <w:qFormat/>
    <w:rsid w:val="00681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1029"/>
    <w:rPr>
      <w:i/>
      <w:iCs/>
      <w:color w:val="0F4761" w:themeColor="accent1" w:themeShade="BF"/>
    </w:rPr>
  </w:style>
  <w:style w:type="character" w:styleId="Intensieveverwijzing">
    <w:name w:val="Intense Reference"/>
    <w:basedOn w:val="Standaardalinea-lettertype"/>
    <w:uiPriority w:val="32"/>
    <w:qFormat/>
    <w:rsid w:val="00681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2475</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2025-07-18T13:03:00Z</dcterms:created>
  <dcterms:modified xsi:type="dcterms:W3CDTF">2025-07-18T13:05:00Z</dcterms:modified>
</cp:coreProperties>
</file>